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Michelle V. Byrd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5800 Preston Oaks Rd. Apt 2085 Dallas, Tx 75254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michelle.byrd92@yahoo.com - (512)595-4054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Certification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AMI Montessori Primary Guide certification, (predicted) July 2016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Texas Elementary Certificate EC-6 with ESL certification (Type 03), January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Montessori Institute of North Texas, Dallas, TX, May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Primary Guide Training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Texas State University, San Marcos, TX, December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Bachelor of Science in Interdisciplinary Curriculum and Instruction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Practice Teacher, Casa Montessori, Austin - March 2016, Alcuin, Dallas - April 2016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Presented lessons in the Montessori style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Helped to organize and care for materials and the environment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Substitute Teacher, San Marcos CISD - Spring 2015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Developed and enforced behavior management strategies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students with their daily work and homework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Student Teacher; Travis Elementary School, Kindergarten, San Marcos, TX - Fall 2014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and preparing lessons for 10 weeks with 2 weeks of total teach.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Introducing classroom management techniques to facilitate learning.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Creating classroom materials for use in lessons.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students in writing letters and words.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Teaching Intern; Bowie Elementary School, Kindergarten, San Marcos, TX - Spring 2014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students during lessons.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Tested student’s math and literacy knowledge.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Planned and conducted lessons.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Child-Care Related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Babysitting; Farmer’s Branch, TX September 2015 - May 2016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Helped 10 year-old complete homework.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Prepared nutritious meals.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Camp Counselor; Camp Texlake, Spicewood, TX Summer 2011 &amp; Summer 2012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Facilitated activities and games.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Developed a secure and positive environment for campers.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Planned and conducted lessons about nature.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Performed additional work as a lifeguard.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